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911E" w14:textId="77777777" w:rsidR="009A6A5A" w:rsidRDefault="009A6A5A">
      <w:pPr>
        <w:spacing w:after="0" w:line="240" w:lineRule="auto"/>
        <w:ind w:left="-90" w:right="-360"/>
        <w:jc w:val="center"/>
        <w:rPr>
          <w:rFonts w:ascii="Arial" w:hAnsi="Arial" w:cs="Arial"/>
          <w:b/>
          <w:sz w:val="24"/>
          <w:szCs w:val="24"/>
        </w:rPr>
      </w:pPr>
      <w:bookmarkStart w:id="0" w:name="__DdeLink__250_1052399898"/>
      <w:bookmarkEnd w:id="0"/>
    </w:p>
    <w:p w14:paraId="76BA18D7" w14:textId="77777777" w:rsidR="009A6A5A" w:rsidRDefault="00A11B61">
      <w:pPr>
        <w:spacing w:after="0" w:line="240" w:lineRule="auto"/>
        <w:ind w:left="-90" w:right="-360"/>
      </w:pPr>
      <w:r>
        <w:rPr>
          <w:rFonts w:ascii="Times New Roman" w:hAnsi="Times New Roman"/>
          <w:i/>
          <w:color w:val="BFBFBF"/>
        </w:rPr>
        <w:t>These Minutes will be accepted into the public record (with any corrections noted) at a future meeting of the Whitingham Planning Commission.</w:t>
      </w:r>
    </w:p>
    <w:p w14:paraId="5C57F45A" w14:textId="77777777" w:rsidR="009A6A5A" w:rsidRDefault="00A11B61">
      <w:pPr>
        <w:pStyle w:val="Heading1"/>
        <w:numPr>
          <w:ilvl w:val="0"/>
          <w:numId w:val="4"/>
        </w:numPr>
      </w:pPr>
      <w:r>
        <w:t>Attending</w:t>
      </w:r>
    </w:p>
    <w:p w14:paraId="35461177" w14:textId="77777777" w:rsidR="009A6A5A" w:rsidRDefault="00A11B61">
      <w:pPr>
        <w:pStyle w:val="BodyText"/>
        <w:numPr>
          <w:ilvl w:val="0"/>
          <w:numId w:val="4"/>
        </w:numPr>
      </w:pPr>
      <w:r>
        <w:t xml:space="preserve">Brad Lackey, Kristen Breeden, Peter Barus, Gig Zboray, John Bennett (WRC), Jenepher Burnell (WRC </w:t>
      </w:r>
      <w:r>
        <w:t>Representative)</w:t>
      </w:r>
    </w:p>
    <w:p w14:paraId="5C18C3DE" w14:textId="77777777" w:rsidR="009A6A5A" w:rsidRDefault="00A11B61">
      <w:pPr>
        <w:pStyle w:val="Heading1"/>
        <w:numPr>
          <w:ilvl w:val="0"/>
          <w:numId w:val="4"/>
        </w:numPr>
      </w:pPr>
      <w:r>
        <w:t xml:space="preserve">Call to Order  </w:t>
      </w:r>
    </w:p>
    <w:p w14:paraId="3D1EF9FC" w14:textId="77777777" w:rsidR="009A6A5A" w:rsidRDefault="00A11B61">
      <w:pPr>
        <w:pStyle w:val="BodyText"/>
        <w:numPr>
          <w:ilvl w:val="0"/>
          <w:numId w:val="4"/>
        </w:numPr>
      </w:pPr>
      <w:r>
        <w:t>The meeting was called to order at 6:35 PM.</w:t>
      </w:r>
    </w:p>
    <w:p w14:paraId="68690652" w14:textId="77777777" w:rsidR="009A6A5A" w:rsidRDefault="00A11B61">
      <w:pPr>
        <w:pStyle w:val="Heading1"/>
        <w:numPr>
          <w:ilvl w:val="0"/>
          <w:numId w:val="4"/>
        </w:numPr>
      </w:pPr>
      <w:r>
        <w:t>Additions or Changes to Agenda</w:t>
      </w:r>
    </w:p>
    <w:p w14:paraId="20246676" w14:textId="77777777" w:rsidR="009A6A5A" w:rsidRDefault="00A11B61">
      <w:pPr>
        <w:pStyle w:val="Heading1"/>
        <w:numPr>
          <w:ilvl w:val="0"/>
          <w:numId w:val="4"/>
        </w:numPr>
      </w:pPr>
      <w:r>
        <w:t>Hearing of visitors (for concerns not on the agenda)</w:t>
      </w:r>
    </w:p>
    <w:p w14:paraId="2F7B7B35" w14:textId="77777777" w:rsidR="009A6A5A" w:rsidRDefault="00A11B61">
      <w:pPr>
        <w:pStyle w:val="BodyText"/>
        <w:numPr>
          <w:ilvl w:val="0"/>
          <w:numId w:val="4"/>
        </w:numPr>
      </w:pPr>
      <w:r>
        <w:t xml:space="preserve">Ms. Burnell had attended the full Windham Regional Commission meeting Tuesday (February 27), at </w:t>
      </w:r>
      <w:r>
        <w:t>which there was a presentation on adopting an Act 174-compliant Regional Energy Plan; she reported that they had discussed language on resource lands; placement of utility-scale turbines in the Windham region; redefinition of resource lands to disallow win</w:t>
      </w:r>
      <w:r>
        <w:t>d turbines in certain towns; etc.</w:t>
      </w:r>
    </w:p>
    <w:p w14:paraId="2F327EE4" w14:textId="77777777" w:rsidR="009A6A5A" w:rsidRDefault="00A11B61">
      <w:pPr>
        <w:pStyle w:val="BodyText"/>
        <w:numPr>
          <w:ilvl w:val="0"/>
          <w:numId w:val="4"/>
        </w:numPr>
      </w:pPr>
      <w:r>
        <w:t>There was discussion with reference to land-use maps; other constraints (from DNR etc.); resource areas; Public Utility Commission; it was noted that there was no definition for “substantial deference” vs. “due considerati</w:t>
      </w:r>
      <w:r>
        <w:t xml:space="preserve">on”; that the PUC can override intent, presumption of validity, etc., with “good of the state”. Mr. Bennett discussed the Plan and the process, public hearings, etc. </w:t>
      </w:r>
    </w:p>
    <w:p w14:paraId="3F3AB41D" w14:textId="77777777" w:rsidR="009A6A5A" w:rsidRDefault="00A11B61">
      <w:pPr>
        <w:pStyle w:val="Heading1"/>
        <w:numPr>
          <w:ilvl w:val="0"/>
          <w:numId w:val="4"/>
        </w:numPr>
      </w:pPr>
      <w:r>
        <w:t>Work on Zoning Regulations edits (Article 3)</w:t>
      </w:r>
    </w:p>
    <w:p w14:paraId="4A1C9AB8" w14:textId="77777777" w:rsidR="009A6A5A" w:rsidRDefault="00A11B61">
      <w:pPr>
        <w:pStyle w:val="BodyText"/>
        <w:numPr>
          <w:ilvl w:val="0"/>
          <w:numId w:val="4"/>
        </w:numPr>
      </w:pPr>
      <w:r>
        <w:t>Mr. Bennett had questions and recommendation</w:t>
      </w:r>
      <w:r>
        <w:t>s for Article 3, xi to xxi; several corrections were made for formatting consistency (</w:t>
      </w:r>
      <w:proofErr w:type="spellStart"/>
      <w:r>
        <w:rPr>
          <w:i/>
          <w:iCs/>
        </w:rPr>
        <w:t>eg</w:t>
      </w:r>
      <w:proofErr w:type="spellEnd"/>
      <w:r>
        <w:t>, “section” or “</w:t>
      </w:r>
      <w:r>
        <w:rPr>
          <w:rFonts w:ascii="DejaVu Sans" w:hAnsi="DejaVu Sans"/>
        </w:rPr>
        <w:t>§</w:t>
      </w:r>
      <w:r>
        <w:t xml:space="preserve">”, “V.S.A.”, etc.), punctuation, syntax, capitalization, outline number format. It was suggested that Mr. Bennett use his own discretion in formatting </w:t>
      </w:r>
      <w:r>
        <w:t>the final draft. He recommended checking applicable statutes against citations, as changes are likely to have been made. There was extended work on language for clarity and consistency with statutory requirements. Subdivision definition was discussed.</w:t>
      </w:r>
    </w:p>
    <w:p w14:paraId="205850CD" w14:textId="77777777" w:rsidR="009A6A5A" w:rsidRDefault="00A11B61" w:rsidP="008D72E6">
      <w:pPr>
        <w:pStyle w:val="BodyText"/>
      </w:pPr>
      <w:r>
        <w:t>Next</w:t>
      </w:r>
      <w:r>
        <w:t xml:space="preserve"> meeting: Article 5.</w:t>
      </w:r>
    </w:p>
    <w:p w14:paraId="77208576" w14:textId="3073EADD" w:rsidR="009A6A5A" w:rsidRDefault="00A11B61">
      <w:pPr>
        <w:pStyle w:val="Heading1"/>
        <w:numPr>
          <w:ilvl w:val="0"/>
          <w:numId w:val="4"/>
        </w:numPr>
      </w:pPr>
      <w:r>
        <w:lastRenderedPageBreak/>
        <w:t>C</w:t>
      </w:r>
      <w:r>
        <w:t>hair’s report and correspondence</w:t>
      </w:r>
    </w:p>
    <w:p w14:paraId="4EA1573C" w14:textId="44A324AA" w:rsidR="009A6A5A" w:rsidRDefault="00A11B61">
      <w:pPr>
        <w:pStyle w:val="Heading1"/>
        <w:numPr>
          <w:ilvl w:val="0"/>
          <w:numId w:val="4"/>
        </w:numPr>
      </w:pPr>
      <w:r>
        <w:t>Z</w:t>
      </w:r>
      <w:r>
        <w:t xml:space="preserve">oning Administration </w:t>
      </w:r>
    </w:p>
    <w:p w14:paraId="1E9C7E7A" w14:textId="77777777" w:rsidR="009A6A5A" w:rsidRDefault="00A11B61">
      <w:pPr>
        <w:pStyle w:val="Heading1"/>
        <w:numPr>
          <w:ilvl w:val="0"/>
          <w:numId w:val="4"/>
        </w:numPr>
      </w:pPr>
      <w:r>
        <w:t>Other Business</w:t>
      </w:r>
    </w:p>
    <w:p w14:paraId="74ACD473" w14:textId="77777777" w:rsidR="009A6A5A" w:rsidRDefault="00A11B61">
      <w:pPr>
        <w:pStyle w:val="Heading2"/>
        <w:numPr>
          <w:ilvl w:val="1"/>
          <w:numId w:val="2"/>
        </w:numPr>
      </w:pPr>
      <w:r>
        <w:t>Approve prior Minutes</w:t>
      </w:r>
    </w:p>
    <w:p w14:paraId="255F4095" w14:textId="77777777" w:rsidR="009A6A5A" w:rsidRDefault="00A11B61">
      <w:pPr>
        <w:pStyle w:val="BodyText"/>
        <w:numPr>
          <w:ilvl w:val="1"/>
          <w:numId w:val="3"/>
        </w:numPr>
      </w:pPr>
      <w:r>
        <w:t xml:space="preserve">Mr. Lackey moved to approve the Minutes for January 10, 2018, and February 12, 2018. Second by Ms. Breeden. </w:t>
      </w:r>
      <w:r>
        <w:rPr>
          <w:b/>
          <w:bCs/>
        </w:rPr>
        <w:t>All in Favor.</w:t>
      </w:r>
    </w:p>
    <w:p w14:paraId="523D50E5" w14:textId="77777777" w:rsidR="009A6A5A" w:rsidRDefault="00A11B61">
      <w:pPr>
        <w:pStyle w:val="Heading1"/>
        <w:numPr>
          <w:ilvl w:val="0"/>
          <w:numId w:val="4"/>
        </w:numPr>
      </w:pPr>
      <w:r>
        <w:t>Executive Session</w:t>
      </w:r>
      <w:r>
        <w:t xml:space="preserve"> as Necessary </w:t>
      </w:r>
      <w:r>
        <w:rPr>
          <w:b w:val="0"/>
          <w:bCs w:val="0"/>
        </w:rPr>
        <w:t>(none)</w:t>
      </w:r>
    </w:p>
    <w:p w14:paraId="155546F2" w14:textId="77777777" w:rsidR="009A6A5A" w:rsidRDefault="00A11B61">
      <w:pPr>
        <w:pStyle w:val="Heading1"/>
        <w:numPr>
          <w:ilvl w:val="0"/>
          <w:numId w:val="4"/>
        </w:numPr>
      </w:pPr>
      <w:r>
        <w:t>Adjourn</w:t>
      </w:r>
    </w:p>
    <w:p w14:paraId="038F7F05" w14:textId="77777777" w:rsidR="009A6A5A" w:rsidRDefault="00A11B61">
      <w:pPr>
        <w:pStyle w:val="BodyText"/>
      </w:pPr>
      <w:r>
        <w:t xml:space="preserve">Mr. Lackey moved to Adjourn. Second by Mr. Barus. </w:t>
      </w:r>
      <w:r>
        <w:rPr>
          <w:b/>
          <w:bCs/>
        </w:rPr>
        <w:t>All in Favor.</w:t>
      </w:r>
    </w:p>
    <w:p w14:paraId="330892C6" w14:textId="7E7C9BC8" w:rsidR="009A6A5A" w:rsidRDefault="00A11B61">
      <w:pPr>
        <w:pStyle w:val="BodyText"/>
      </w:pPr>
      <w:r>
        <w:t>The meeting Adjourned at 8:5 PM.</w:t>
      </w:r>
    </w:p>
    <w:p w14:paraId="0D71459D" w14:textId="4D88588C" w:rsidR="008D72E6" w:rsidRDefault="008D72E6">
      <w:pPr>
        <w:pStyle w:val="BodyText"/>
      </w:pPr>
    </w:p>
    <w:p w14:paraId="02B9DBC3" w14:textId="1F0DAA90" w:rsidR="008D72E6" w:rsidRPr="008D72E6" w:rsidRDefault="008D72E6">
      <w:pPr>
        <w:pStyle w:val="BodyText"/>
        <w:rPr>
          <w:b/>
        </w:rPr>
      </w:pPr>
      <w:r>
        <w:rPr>
          <w:b/>
        </w:rPr>
        <w:t>The next meeting is scheduled for Thursday, April 5 at 6:30pm.</w:t>
      </w:r>
      <w:bookmarkStart w:id="1" w:name="_GoBack"/>
      <w:bookmarkEnd w:id="1"/>
    </w:p>
    <w:p w14:paraId="6AF372FE" w14:textId="77777777" w:rsidR="009A6A5A" w:rsidRDefault="009A6A5A">
      <w:pPr>
        <w:pStyle w:val="BodyText"/>
      </w:pPr>
    </w:p>
    <w:p w14:paraId="188F7BE7" w14:textId="77777777" w:rsidR="009A6A5A" w:rsidRDefault="009A6A5A">
      <w:pPr>
        <w:pStyle w:val="BodyText"/>
      </w:pPr>
    </w:p>
    <w:p w14:paraId="539109AF" w14:textId="77777777" w:rsidR="009A6A5A" w:rsidRDefault="00A11B61">
      <w:pPr>
        <w:pStyle w:val="BodyText"/>
        <w:rPr>
          <w:i/>
          <w:iCs/>
        </w:rPr>
      </w:pPr>
      <w:r>
        <w:rPr>
          <w:i/>
          <w:iCs/>
        </w:rPr>
        <w:t>Respectfully submitted, Peter Barus, March 2, 2018.</w:t>
      </w:r>
    </w:p>
    <w:p w14:paraId="7E2D6453" w14:textId="77777777" w:rsidR="009A6A5A" w:rsidRDefault="009A6A5A">
      <w:pPr>
        <w:pStyle w:val="Heading1"/>
        <w:numPr>
          <w:ilvl w:val="0"/>
          <w:numId w:val="4"/>
        </w:numPr>
      </w:pPr>
    </w:p>
    <w:p w14:paraId="2E6EB79E" w14:textId="77777777" w:rsidR="009A6A5A" w:rsidRDefault="009A6A5A">
      <w:pPr>
        <w:spacing w:after="0" w:line="240" w:lineRule="auto"/>
        <w:ind w:left="-90" w:right="-360"/>
        <w:jc w:val="center"/>
      </w:pPr>
    </w:p>
    <w:sectPr w:rsidR="009A6A5A">
      <w:headerReference w:type="default" r:id="rId8"/>
      <w:pgSz w:w="12240" w:h="15840"/>
      <w:pgMar w:top="2468" w:right="1440" w:bottom="720" w:left="1526"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CA94" w14:textId="77777777" w:rsidR="00A11B61" w:rsidRDefault="00A11B61">
      <w:pPr>
        <w:spacing w:after="0" w:line="240" w:lineRule="auto"/>
      </w:pPr>
      <w:r>
        <w:separator/>
      </w:r>
    </w:p>
  </w:endnote>
  <w:endnote w:type="continuationSeparator" w:id="0">
    <w:p w14:paraId="7F7CDAEF" w14:textId="77777777" w:rsidR="00A11B61" w:rsidRDefault="00A1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altName w:val="Verdana"/>
    <w:charset w:val="01"/>
    <w:family w:val="roman"/>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9A32" w14:textId="77777777" w:rsidR="00A11B61" w:rsidRDefault="00A11B61">
      <w:pPr>
        <w:spacing w:after="0" w:line="240" w:lineRule="auto"/>
      </w:pPr>
      <w:r>
        <w:separator/>
      </w:r>
    </w:p>
  </w:footnote>
  <w:footnote w:type="continuationSeparator" w:id="0">
    <w:p w14:paraId="347A341A" w14:textId="77777777" w:rsidR="00A11B61" w:rsidRDefault="00A11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6D1" w14:textId="77777777" w:rsidR="009A6A5A" w:rsidRDefault="00A11B61">
    <w:pPr>
      <w:spacing w:after="0" w:line="240" w:lineRule="auto"/>
      <w:ind w:left="-90" w:right="-360"/>
    </w:pPr>
    <w:r>
      <w:rPr>
        <w:noProof/>
      </w:rPr>
      <mc:AlternateContent>
        <mc:Choice Requires="wps">
          <w:drawing>
            <wp:anchor distT="0" distB="0" distL="114300" distR="114300" simplePos="0" relativeHeight="3" behindDoc="1" locked="0" layoutInCell="1" allowOverlap="1" wp14:anchorId="22E4A121" wp14:editId="380632A6">
              <wp:simplePos x="0" y="0"/>
              <wp:positionH relativeFrom="column">
                <wp:posOffset>-16510</wp:posOffset>
              </wp:positionH>
              <wp:positionV relativeFrom="paragraph">
                <wp:posOffset>-1905</wp:posOffset>
              </wp:positionV>
              <wp:extent cx="1165225" cy="1146175"/>
              <wp:effectExtent l="0" t="0" r="0" b="0"/>
              <wp:wrapNone/>
              <wp:docPr id="1" name="Text Box 1"/>
              <wp:cNvGraphicFramePr/>
              <a:graphic xmlns:a="http://schemas.openxmlformats.org/drawingml/2006/main">
                <a:graphicData uri="http://schemas.microsoft.com/office/word/2010/wordprocessingShape">
                  <wps:wsp>
                    <wps:cNvSpPr/>
                    <wps:spPr>
                      <a:xfrm>
                        <a:off x="0" y="0"/>
                        <a:ext cx="1164600" cy="11455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shape_0" ID="Text Box 1" fillcolor="white" stroked="f" style="position:absolute;margin-left:-1.3pt;margin-top:-0.15pt;width:91.65pt;height:90.15pt" wp14:anchorId="43B0B27C">
              <w10:wrap type="none"/>
              <v:fill o:detectmouseclick="t" type="solid" color2="black"/>
              <v:stroke color="#3465a4" weight="6480" joinstyle="round" endcap="flat"/>
            </v:rect>
          </w:pict>
        </mc:Fallback>
      </mc:AlternateContent>
    </w:r>
    <w:r>
      <w:rPr>
        <w:noProof/>
      </w:rPr>
      <mc:AlternateContent>
        <mc:Choice Requires="wps">
          <w:drawing>
            <wp:anchor distT="0" distB="0" distL="0" distR="0" simplePos="0" relativeHeight="5" behindDoc="1" locked="0" layoutInCell="1" allowOverlap="1" wp14:anchorId="60D1E4F7" wp14:editId="6F49CFB0">
              <wp:simplePos x="0" y="0"/>
              <wp:positionH relativeFrom="column">
                <wp:posOffset>-16510</wp:posOffset>
              </wp:positionH>
              <wp:positionV relativeFrom="paragraph">
                <wp:posOffset>-1905</wp:posOffset>
              </wp:positionV>
              <wp:extent cx="1165225" cy="1146175"/>
              <wp:effectExtent l="0" t="0" r="0" b="0"/>
              <wp:wrapNone/>
              <wp:docPr id="2" name="Frame2"/>
              <wp:cNvGraphicFramePr/>
              <a:graphic xmlns:a="http://schemas.openxmlformats.org/drawingml/2006/main">
                <a:graphicData uri="http://schemas.microsoft.com/office/word/2010/wordprocessingShape">
                  <wps:wsp>
                    <wps:cNvSpPr/>
                    <wps:spPr>
                      <a:xfrm>
                        <a:off x="0" y="0"/>
                        <a:ext cx="1164600" cy="1145520"/>
                      </a:xfrm>
                      <a:prstGeom prst="rect">
                        <a:avLst/>
                      </a:prstGeom>
                      <a:noFill/>
                      <a:ln>
                        <a:noFill/>
                      </a:ln>
                    </wps:spPr>
                    <wps:style>
                      <a:lnRef idx="0">
                        <a:scrgbClr r="0" g="0" b="0"/>
                      </a:lnRef>
                      <a:fillRef idx="0">
                        <a:scrgbClr r="0" g="0" b="0"/>
                      </a:fillRef>
                      <a:effectRef idx="0">
                        <a:scrgbClr r="0" g="0" b="0"/>
                      </a:effectRef>
                      <a:fontRef idx="minor"/>
                    </wps:style>
                    <wps:txbx>
                      <w:txbxContent>
                        <w:p w14:paraId="7DB18BB8" w14:textId="77777777" w:rsidR="009A6A5A" w:rsidRDefault="00A11B61">
                          <w:pPr>
                            <w:pStyle w:val="FrameContents"/>
                            <w:rPr>
                              <w:color w:val="000000"/>
                            </w:rPr>
                          </w:pPr>
                          <w:r>
                            <w:rPr>
                              <w:noProof/>
                              <w:color w:val="000000"/>
                            </w:rPr>
                            <w:drawing>
                              <wp:inline distT="0" distB="0" distL="0" distR="0" wp14:anchorId="35C5171A" wp14:editId="65140B99">
                                <wp:extent cx="942975" cy="94297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942975" cy="942975"/>
                                        </a:xfrm>
                                        <a:prstGeom prst="rect">
                                          <a:avLst/>
                                        </a:prstGeom>
                                      </pic:spPr>
                                    </pic:pic>
                                  </a:graphicData>
                                </a:graphic>
                              </wp:inline>
                            </w:drawing>
                          </w:r>
                        </w:p>
                      </w:txbxContent>
                    </wps:txbx>
                    <wps:bodyPr>
                      <a:noAutofit/>
                    </wps:bodyPr>
                  </wps:wsp>
                </a:graphicData>
              </a:graphic>
            </wp:anchor>
          </w:drawing>
        </mc:Choice>
        <mc:Fallback>
          <w:pict>
            <v:rect id="shape_0" ID="Frame2" stroked="f" style="position:absolute;margin-left:-1.3pt;margin-top:-0.15pt;width:91.65pt;height:90.15pt">
              <w10:wrap type="none"/>
              <v:fill o:detectmouseclick="t" on="false"/>
              <v:stroke color="#3465a4" joinstyle="round" endcap="flat"/>
              <v:textbox>
                <w:txbxContent>
                  <w:p>
                    <w:pPr>
                      <w:pStyle w:val="FrameContents"/>
                      <w:spacing w:before="0" w:after="200"/>
                      <w:rPr>
                        <w:color w:val="000000"/>
                      </w:rPr>
                    </w:pPr>
                    <w:r>
                      <w:rPr>
                        <w:color w:val="000000"/>
                      </w:rPr>
                      <w:drawing>
                        <wp:inline distT="0" distB="0" distL="0" distR="0">
                          <wp:extent cx="942975" cy="94297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tretch>
                                    <a:fillRect/>
                                  </a:stretch>
                                </pic:blipFill>
                                <pic:spPr bwMode="auto">
                                  <a:xfrm>
                                    <a:off x="0" y="0"/>
                                    <a:ext cx="942975" cy="942975"/>
                                  </a:xfrm>
                                  <a:prstGeom prst="rect">
                                    <a:avLst/>
                                  </a:prstGeom>
                                </pic:spPr>
                              </pic:pic>
                            </a:graphicData>
                          </a:graphic>
                        </wp:inline>
                      </w:drawing>
                    </w:r>
                  </w:p>
                </w:txbxContent>
              </v:textbox>
            </v:rect>
          </w:pict>
        </mc:Fallback>
      </mc:AlternateContent>
    </w:r>
    <w:r>
      <w:rPr>
        <w:rFonts w:ascii="Arial" w:hAnsi="Arial" w:cs="Arial"/>
        <w:b/>
        <w:sz w:val="24"/>
        <w:szCs w:val="24"/>
      </w:rPr>
      <w:t xml:space="preserve">                            </w:t>
    </w:r>
  </w:p>
  <w:p w14:paraId="602A000D" w14:textId="77777777" w:rsidR="009A6A5A" w:rsidRDefault="00A11B61">
    <w:pPr>
      <w:spacing w:after="0" w:line="240" w:lineRule="auto"/>
      <w:ind w:left="-90" w:right="-360"/>
    </w:pPr>
    <w:r>
      <w:rPr>
        <w:rFonts w:ascii="Arial" w:hAnsi="Arial" w:cs="Arial"/>
        <w:b/>
        <w:sz w:val="24"/>
        <w:szCs w:val="24"/>
      </w:rPr>
      <w:t xml:space="preserve">                              </w:t>
    </w:r>
    <w:r>
      <w:rPr>
        <w:rFonts w:ascii="Times New Roman" w:hAnsi="Times New Roman" w:cs="Times New Roman"/>
        <w:b/>
        <w:sz w:val="28"/>
        <w:szCs w:val="28"/>
      </w:rPr>
      <w:t>Town of Whitingham</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4650E3F0" w14:textId="77777777" w:rsidR="009A6A5A" w:rsidRDefault="00A11B61">
    <w:pPr>
      <w:spacing w:after="0" w:line="240" w:lineRule="auto"/>
      <w:ind w:left="-90" w:right="-360"/>
    </w:pPr>
    <w:r>
      <w:rPr>
        <w:rFonts w:ascii="Times New Roman" w:hAnsi="Times New Roman" w:cs="Times New Roman"/>
        <w:b/>
        <w:sz w:val="28"/>
        <w:szCs w:val="28"/>
      </w:rPr>
      <w:t xml:space="preserve">                             </w:t>
    </w:r>
    <w:r>
      <w:rPr>
        <w:rFonts w:ascii="Times New Roman" w:hAnsi="Times New Roman" w:cs="Times New Roman"/>
        <w:b/>
        <w:sz w:val="24"/>
        <w:szCs w:val="24"/>
      </w:rPr>
      <w:t>Planning Commission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84559A3" w14:textId="77777777" w:rsidR="009A6A5A" w:rsidRDefault="00A11B61">
    <w:pPr>
      <w:spacing w:after="0" w:line="240" w:lineRule="auto"/>
      <w:ind w:left="-90" w:right="-360"/>
    </w:pPr>
    <w:r>
      <w:rPr>
        <w:rFonts w:ascii="Times New Roman" w:hAnsi="Times New Roman" w:cs="Times New Roman"/>
        <w:b/>
        <w:sz w:val="24"/>
        <w:szCs w:val="24"/>
      </w:rPr>
      <w:t xml:space="preserve">                                  </w:t>
    </w:r>
    <w:r>
      <w:rPr>
        <w:rFonts w:ascii="Times New Roman" w:hAnsi="Times New Roman" w:cs="Times New Roman"/>
        <w:b/>
        <w:sz w:val="28"/>
        <w:szCs w:val="28"/>
      </w:rPr>
      <w:t>MINUTES FOR THURSDAY, MARCH 1, 2018, 6:30PM</w:t>
    </w:r>
  </w:p>
  <w:p w14:paraId="078C87D4" w14:textId="77777777" w:rsidR="009A6A5A" w:rsidRDefault="009A6A5A">
    <w:pPr>
      <w:spacing w:after="0" w:line="240" w:lineRule="auto"/>
      <w:ind w:left="-90" w:right="-360"/>
      <w:jc w:val="center"/>
      <w:rPr>
        <w:rFonts w:ascii="Arial" w:hAnsi="Arial" w:cs="Arial"/>
        <w:b/>
        <w:sz w:val="24"/>
        <w:szCs w:val="24"/>
      </w:rPr>
    </w:pPr>
    <w:bookmarkStart w:id="2" w:name="__UnoMark__60_233936413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3D02"/>
    <w:multiLevelType w:val="multilevel"/>
    <w:tmpl w:val="54443F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F6401D"/>
    <w:multiLevelType w:val="multilevel"/>
    <w:tmpl w:val="B546DA1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8774D0B"/>
    <w:multiLevelType w:val="multilevel"/>
    <w:tmpl w:val="E28C9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493201F"/>
    <w:multiLevelType w:val="multilevel"/>
    <w:tmpl w:val="EE9444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5A"/>
    <w:rsid w:val="0076748C"/>
    <w:rsid w:val="008D72E6"/>
    <w:rsid w:val="009A6A5A"/>
    <w:rsid w:val="00A11B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029F"/>
  <w15:docId w15:val="{9B91C887-FD4A-4EFC-8DCE-69C04E8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color w:val="00000A"/>
      <w:sz w:val="22"/>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B1020"/>
    <w:rPr>
      <w:color w:val="0000FF" w:themeColor="hyperlink"/>
      <w:u w:val="single"/>
    </w:rPr>
  </w:style>
  <w:style w:type="character" w:customStyle="1" w:styleId="BalloonTextChar">
    <w:name w:val="Balloon Text Char"/>
    <w:basedOn w:val="DefaultParagraphFont"/>
    <w:link w:val="BalloonText"/>
    <w:uiPriority w:val="99"/>
    <w:semiHidden/>
    <w:qFormat/>
    <w:rsid w:val="00543FB1"/>
    <w:rPr>
      <w:rFonts w:ascii="Tahoma" w:hAnsi="Tahoma" w:cs="Tahoma"/>
      <w:sz w:val="16"/>
      <w:szCs w:val="16"/>
    </w:rPr>
  </w:style>
  <w:style w:type="character" w:customStyle="1" w:styleId="ListLabel1">
    <w:name w:val="ListLabel 1"/>
    <w:qFormat/>
    <w:rPr>
      <w:b/>
      <w:color w:val="006600"/>
    </w:rPr>
  </w:style>
  <w:style w:type="character" w:customStyle="1" w:styleId="ListLabel2">
    <w:name w:val="ListLabel 2"/>
    <w:qFormat/>
    <w:rPr>
      <w:b/>
    </w:rPr>
  </w:style>
  <w:style w:type="character" w:customStyle="1" w:styleId="ListLabel3">
    <w:name w:val="ListLabel 3"/>
    <w:qFormat/>
    <w:rPr>
      <w:b/>
      <w:color w:val="006600"/>
    </w:rPr>
  </w:style>
  <w:style w:type="character" w:customStyle="1" w:styleId="ListLabel4">
    <w:name w:val="ListLabel 4"/>
    <w:qFormat/>
    <w:rPr>
      <w:b/>
      <w:color w:val="006600"/>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val="0"/>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D0F9B"/>
    <w:pPr>
      <w:ind w:left="720"/>
      <w:contextualSpacing/>
    </w:pPr>
  </w:style>
  <w:style w:type="paragraph" w:styleId="BalloonText">
    <w:name w:val="Balloon Text"/>
    <w:basedOn w:val="Normal"/>
    <w:link w:val="BalloonTextChar"/>
    <w:uiPriority w:val="99"/>
    <w:semiHidden/>
    <w:unhideWhenUsed/>
    <w:qFormat/>
    <w:rsid w:val="00543FB1"/>
    <w:pPr>
      <w:spacing w:after="0" w:line="240" w:lineRule="auto"/>
    </w:pPr>
    <w:rPr>
      <w:rFonts w:ascii="Tahoma" w:hAnsi="Tahoma" w:cs="Tahoma"/>
      <w:sz w:val="16"/>
      <w:szCs w:val="16"/>
    </w:rPr>
  </w:style>
  <w:style w:type="paragraph" w:customStyle="1" w:styleId="FrameContents">
    <w:name w:val="Frame Contents"/>
    <w:basedOn w:val="Normal"/>
    <w:qFormat/>
  </w:style>
  <w:style w:type="paragraph" w:styleId="Header">
    <w:name w:val="header"/>
    <w:basedOn w:val="Normal"/>
    <w:pPr>
      <w:suppressLineNumbers/>
      <w:tabs>
        <w:tab w:val="center" w:pos="4637"/>
        <w:tab w:val="right" w:pos="927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5878-E878-4711-87B8-9F1071B8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Zboray</dc:creator>
  <dc:description/>
  <cp:lastModifiedBy>Shirley</cp:lastModifiedBy>
  <cp:revision>3</cp:revision>
  <cp:lastPrinted>2017-09-15T15:35:00Z</cp:lastPrinted>
  <dcterms:created xsi:type="dcterms:W3CDTF">2018-03-06T13:48:00Z</dcterms:created>
  <dcterms:modified xsi:type="dcterms:W3CDTF">2018-03-06T13:51:00Z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