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911E" w14:textId="77777777" w:rsidR="009A6A5A" w:rsidRDefault="009A6A5A">
      <w:pPr>
        <w:spacing w:after="0" w:line="240" w:lineRule="auto"/>
        <w:ind w:left="-90" w:right="-360"/>
        <w:jc w:val="center"/>
        <w:rPr>
          <w:rFonts w:ascii="Arial" w:hAnsi="Arial" w:cs="Arial"/>
          <w:b/>
          <w:sz w:val="24"/>
          <w:szCs w:val="24"/>
        </w:rPr>
      </w:pPr>
      <w:bookmarkStart w:id="0" w:name="__DdeLink__250_1052399898"/>
      <w:bookmarkEnd w:id="0"/>
    </w:p>
    <w:p w14:paraId="76BA18D7" w14:textId="4317C788" w:rsidR="009A6A5A" w:rsidRDefault="00A11B61">
      <w:pPr>
        <w:spacing w:after="0" w:line="240" w:lineRule="auto"/>
        <w:ind w:left="-90" w:right="-360"/>
        <w:rPr>
          <w:rFonts w:ascii="Times New Roman" w:hAnsi="Times New Roman"/>
          <w:i/>
          <w:color w:val="BFBFBF"/>
        </w:rPr>
      </w:pPr>
      <w:r>
        <w:rPr>
          <w:rFonts w:ascii="Times New Roman" w:hAnsi="Times New Roman"/>
          <w:i/>
          <w:color w:val="BFBFBF"/>
        </w:rPr>
        <w:t>These Minutes will be accepted into the public record (with any corrections noted) at a future meeting of the Whitingham Planning Commission.</w:t>
      </w:r>
    </w:p>
    <w:p w14:paraId="024E7B62" w14:textId="17E02350" w:rsidR="00671340" w:rsidRDefault="00671340">
      <w:pPr>
        <w:spacing w:after="0" w:line="240" w:lineRule="auto"/>
        <w:ind w:left="-90" w:right="-360"/>
      </w:pPr>
    </w:p>
    <w:p w14:paraId="0CB77D33" w14:textId="4B34DC69" w:rsidR="00671340" w:rsidRDefault="00671340">
      <w:pPr>
        <w:spacing w:after="0" w:line="240" w:lineRule="auto"/>
        <w:ind w:left="-90" w:right="-360"/>
        <w:rPr>
          <w:rFonts w:ascii="Arial" w:hAnsi="Arial" w:cs="Arial"/>
          <w:sz w:val="24"/>
          <w:szCs w:val="24"/>
        </w:rPr>
      </w:pPr>
    </w:p>
    <w:p w14:paraId="45F887FA" w14:textId="22BC9E0B" w:rsidR="00671340" w:rsidRDefault="00671340" w:rsidP="005F47B5">
      <w:pPr>
        <w:ind w:left="-90" w:right="-266"/>
        <w:jc w:val="both"/>
        <w:rPr>
          <w:rFonts w:ascii="Arial" w:hAnsi="Arial" w:cs="Arial"/>
          <w:sz w:val="24"/>
          <w:szCs w:val="24"/>
        </w:rPr>
      </w:pPr>
      <w:r>
        <w:rPr>
          <w:rFonts w:ascii="Arial" w:hAnsi="Arial" w:cs="Arial"/>
          <w:sz w:val="24"/>
          <w:szCs w:val="24"/>
        </w:rPr>
        <w:t>The Whitingham Planning Commission held a regular meeting on Thursday, May 1</w:t>
      </w:r>
      <w:r w:rsidR="005F47B5">
        <w:rPr>
          <w:rFonts w:ascii="Arial" w:hAnsi="Arial" w:cs="Arial"/>
          <w:sz w:val="24"/>
          <w:szCs w:val="24"/>
        </w:rPr>
        <w:t>7</w:t>
      </w:r>
      <w:r>
        <w:rPr>
          <w:rFonts w:ascii="Arial" w:hAnsi="Arial" w:cs="Arial"/>
          <w:sz w:val="24"/>
          <w:szCs w:val="24"/>
        </w:rPr>
        <w:t>, 2018 at 6:30pm.</w:t>
      </w:r>
    </w:p>
    <w:p w14:paraId="1AA5A864" w14:textId="282081E3" w:rsidR="00671340" w:rsidRDefault="00671340" w:rsidP="005F47B5">
      <w:pPr>
        <w:ind w:left="-90" w:right="-266"/>
        <w:jc w:val="both"/>
        <w:rPr>
          <w:rFonts w:ascii="Arial" w:hAnsi="Arial" w:cs="Arial"/>
          <w:sz w:val="24"/>
          <w:szCs w:val="24"/>
        </w:rPr>
      </w:pPr>
      <w:r>
        <w:rPr>
          <w:rFonts w:ascii="Arial" w:hAnsi="Arial" w:cs="Arial"/>
          <w:sz w:val="24"/>
          <w:szCs w:val="24"/>
        </w:rPr>
        <w:t>Attendees:  Planning Commissioners: Brad Lackey, Chair; Phil Edelstein, member.  Others:  Gig Zboray, Zoning Administrator; John Bennett, Windham Regional Commission Planner.</w:t>
      </w:r>
    </w:p>
    <w:p w14:paraId="0223A9B3" w14:textId="53437514" w:rsidR="00671340" w:rsidRDefault="00671340" w:rsidP="005F47B5">
      <w:pPr>
        <w:ind w:left="-90" w:right="-266"/>
        <w:jc w:val="both"/>
        <w:rPr>
          <w:rFonts w:ascii="Arial" w:hAnsi="Arial" w:cs="Arial"/>
          <w:sz w:val="24"/>
          <w:szCs w:val="24"/>
        </w:rPr>
      </w:pPr>
      <w:r>
        <w:rPr>
          <w:rFonts w:ascii="Arial" w:hAnsi="Arial" w:cs="Arial"/>
          <w:sz w:val="24"/>
          <w:szCs w:val="24"/>
        </w:rPr>
        <w:t>For the record it was noted that the April meeting was cancelled.</w:t>
      </w:r>
    </w:p>
    <w:p w14:paraId="5DEF5F6C" w14:textId="42A0D203" w:rsidR="00671340" w:rsidRDefault="00671340" w:rsidP="005F47B5">
      <w:pPr>
        <w:ind w:left="-90" w:right="-266"/>
        <w:jc w:val="both"/>
        <w:rPr>
          <w:rFonts w:ascii="Arial" w:hAnsi="Arial" w:cs="Arial"/>
          <w:sz w:val="24"/>
          <w:szCs w:val="24"/>
        </w:rPr>
      </w:pPr>
      <w:r>
        <w:rPr>
          <w:rFonts w:ascii="Arial" w:hAnsi="Arial" w:cs="Arial"/>
          <w:sz w:val="24"/>
          <w:szCs w:val="24"/>
        </w:rPr>
        <w:t xml:space="preserve">There was not a quorum of Commissioners at this </w:t>
      </w:r>
      <w:r w:rsidR="00277548">
        <w:rPr>
          <w:rFonts w:ascii="Arial" w:hAnsi="Arial" w:cs="Arial"/>
          <w:sz w:val="24"/>
          <w:szCs w:val="24"/>
        </w:rPr>
        <w:t>meeting,</w:t>
      </w:r>
      <w:r>
        <w:rPr>
          <w:rFonts w:ascii="Arial" w:hAnsi="Arial" w:cs="Arial"/>
          <w:sz w:val="24"/>
          <w:szCs w:val="24"/>
        </w:rPr>
        <w:t xml:space="preserve"> so we used the time as a work session.  It has been very difficult to find a time to meet that fits into everyone’s schedules.  Brad will send out emails to see what works best for the June meeting – options are June 6, 7 or 20.</w:t>
      </w:r>
    </w:p>
    <w:p w14:paraId="5ADC2B66" w14:textId="76B75EBB" w:rsidR="00671340" w:rsidRDefault="00671340" w:rsidP="005F47B5">
      <w:pPr>
        <w:ind w:left="-90" w:right="-266"/>
        <w:jc w:val="both"/>
        <w:rPr>
          <w:rFonts w:ascii="Arial" w:hAnsi="Arial" w:cs="Arial"/>
          <w:sz w:val="24"/>
          <w:szCs w:val="24"/>
        </w:rPr>
      </w:pPr>
      <w:r w:rsidRPr="00671340">
        <w:rPr>
          <w:rFonts w:ascii="Arial" w:hAnsi="Arial" w:cs="Arial"/>
          <w:sz w:val="24"/>
          <w:szCs w:val="24"/>
          <w:u w:val="single"/>
        </w:rPr>
        <w:t>Town Plan Discussion</w:t>
      </w:r>
      <w:r w:rsidRPr="00671340">
        <w:rPr>
          <w:rFonts w:ascii="Arial" w:hAnsi="Arial" w:cs="Arial"/>
          <w:sz w:val="24"/>
          <w:szCs w:val="24"/>
        </w:rPr>
        <w:t xml:space="preserve"> </w:t>
      </w:r>
      <w:proofErr w:type="gramStart"/>
      <w:r>
        <w:rPr>
          <w:rFonts w:ascii="Arial" w:hAnsi="Arial" w:cs="Arial"/>
          <w:sz w:val="24"/>
          <w:szCs w:val="24"/>
        </w:rPr>
        <w:t>In</w:t>
      </w:r>
      <w:proofErr w:type="gramEnd"/>
      <w:r>
        <w:rPr>
          <w:rFonts w:ascii="Arial" w:hAnsi="Arial" w:cs="Arial"/>
          <w:sz w:val="24"/>
          <w:szCs w:val="24"/>
        </w:rPr>
        <w:t xml:space="preserve"> January Gig ha</w:t>
      </w:r>
      <w:r w:rsidR="00C65DC0">
        <w:rPr>
          <w:rFonts w:ascii="Arial" w:hAnsi="Arial" w:cs="Arial"/>
          <w:sz w:val="24"/>
          <w:szCs w:val="24"/>
        </w:rPr>
        <w:t>d</w:t>
      </w:r>
      <w:r>
        <w:rPr>
          <w:rFonts w:ascii="Arial" w:hAnsi="Arial" w:cs="Arial"/>
          <w:sz w:val="24"/>
          <w:szCs w:val="24"/>
        </w:rPr>
        <w:t xml:space="preserve"> submitted two paragraphs that she wanted included in the Town Plan.  The first paragraph discussed the sewer system and its urgent need for repairs and upgrades.  John will edit the paragraph and add it to the Community Facilities &amp; Services section under Waste Water Disposal.  The second was regarding Flood Hazard Mitigation in Jacksonville Village.  John will add some language to Gig’s suggested paragraph about the River Corridor Plan that is now finalized and insert</w:t>
      </w:r>
      <w:r w:rsidR="00C65DC0">
        <w:rPr>
          <w:rFonts w:ascii="Arial" w:hAnsi="Arial" w:cs="Arial"/>
          <w:sz w:val="24"/>
          <w:szCs w:val="24"/>
        </w:rPr>
        <w:t xml:space="preserve"> the paragraph</w:t>
      </w:r>
      <w:r>
        <w:rPr>
          <w:rFonts w:ascii="Arial" w:hAnsi="Arial" w:cs="Arial"/>
          <w:sz w:val="24"/>
          <w:szCs w:val="24"/>
        </w:rPr>
        <w:t xml:space="preserve"> into the Natural Resources section of the plan </w:t>
      </w:r>
      <w:r w:rsidR="00C65DC0">
        <w:rPr>
          <w:rFonts w:ascii="Arial" w:hAnsi="Arial" w:cs="Arial"/>
          <w:sz w:val="24"/>
          <w:szCs w:val="24"/>
        </w:rPr>
        <w:t>below</w:t>
      </w:r>
      <w:r>
        <w:rPr>
          <w:rFonts w:ascii="Arial" w:hAnsi="Arial" w:cs="Arial"/>
          <w:sz w:val="24"/>
          <w:szCs w:val="24"/>
        </w:rPr>
        <w:t xml:space="preserve"> Flood Hazard Regulations.</w:t>
      </w:r>
    </w:p>
    <w:p w14:paraId="3E26DF2F" w14:textId="435E093D" w:rsidR="00671340" w:rsidRDefault="00671340" w:rsidP="005F47B5">
      <w:pPr>
        <w:ind w:left="-90" w:right="-266"/>
        <w:jc w:val="both"/>
        <w:rPr>
          <w:rFonts w:ascii="Arial" w:hAnsi="Arial" w:cs="Arial"/>
          <w:sz w:val="24"/>
          <w:szCs w:val="24"/>
        </w:rPr>
      </w:pPr>
      <w:r>
        <w:rPr>
          <w:rFonts w:ascii="Arial" w:hAnsi="Arial" w:cs="Arial"/>
          <w:sz w:val="24"/>
          <w:szCs w:val="24"/>
        </w:rPr>
        <w:t xml:space="preserve">Regarding Act 171 (forest blocks and </w:t>
      </w:r>
      <w:r w:rsidR="00C65DC0">
        <w:rPr>
          <w:rFonts w:ascii="Arial" w:hAnsi="Arial" w:cs="Arial"/>
          <w:sz w:val="24"/>
          <w:szCs w:val="24"/>
        </w:rPr>
        <w:t>habitat connectors</w:t>
      </w:r>
      <w:r>
        <w:rPr>
          <w:rFonts w:ascii="Arial" w:hAnsi="Arial" w:cs="Arial"/>
          <w:sz w:val="24"/>
          <w:szCs w:val="24"/>
        </w:rPr>
        <w:t xml:space="preserve">):  Our draft Town Plan was reviewed by Monica </w:t>
      </w:r>
      <w:proofErr w:type="spellStart"/>
      <w:r>
        <w:rPr>
          <w:rFonts w:ascii="Arial" w:hAnsi="Arial" w:cs="Arial"/>
          <w:sz w:val="24"/>
          <w:szCs w:val="24"/>
        </w:rPr>
        <w:t>Przyperhart</w:t>
      </w:r>
      <w:proofErr w:type="spellEnd"/>
      <w:r>
        <w:rPr>
          <w:rFonts w:ascii="Arial" w:hAnsi="Arial" w:cs="Arial"/>
          <w:sz w:val="24"/>
          <w:szCs w:val="24"/>
        </w:rPr>
        <w:t xml:space="preserve"> of the VT Fish and Wildlife Dept.  She had a short list of suggestions.  Upon reviewing her list</w:t>
      </w:r>
      <w:r w:rsidR="00C65DC0">
        <w:rPr>
          <w:rFonts w:ascii="Arial" w:hAnsi="Arial" w:cs="Arial"/>
          <w:sz w:val="24"/>
          <w:szCs w:val="24"/>
        </w:rPr>
        <w:t xml:space="preserve"> the Commissioners</w:t>
      </w:r>
      <w:r>
        <w:rPr>
          <w:rFonts w:ascii="Arial" w:hAnsi="Arial" w:cs="Arial"/>
          <w:sz w:val="24"/>
          <w:szCs w:val="24"/>
        </w:rPr>
        <w:t xml:space="preserve"> felt that all of her issues were already </w:t>
      </w:r>
      <w:r w:rsidR="00C65DC0">
        <w:rPr>
          <w:rFonts w:ascii="Arial" w:hAnsi="Arial" w:cs="Arial"/>
          <w:sz w:val="24"/>
          <w:szCs w:val="24"/>
        </w:rPr>
        <w:t xml:space="preserve">adequately </w:t>
      </w:r>
      <w:bookmarkStart w:id="1" w:name="_GoBack"/>
      <w:bookmarkEnd w:id="1"/>
      <w:r>
        <w:rPr>
          <w:rFonts w:ascii="Arial" w:hAnsi="Arial" w:cs="Arial"/>
          <w:sz w:val="24"/>
          <w:szCs w:val="24"/>
        </w:rPr>
        <w:t>addressed throughout the plan.</w:t>
      </w:r>
    </w:p>
    <w:p w14:paraId="0F0C31B0" w14:textId="7EB1739F" w:rsidR="004336EA" w:rsidRDefault="004336EA" w:rsidP="005F47B5">
      <w:pPr>
        <w:ind w:left="-90" w:right="-266"/>
        <w:jc w:val="both"/>
        <w:rPr>
          <w:rFonts w:ascii="Arial" w:hAnsi="Arial" w:cs="Arial"/>
          <w:sz w:val="24"/>
          <w:szCs w:val="24"/>
        </w:rPr>
      </w:pPr>
      <w:r w:rsidRPr="004336EA">
        <w:rPr>
          <w:rFonts w:ascii="Arial" w:hAnsi="Arial" w:cs="Arial"/>
          <w:sz w:val="24"/>
          <w:szCs w:val="24"/>
          <w:u w:val="single"/>
        </w:rPr>
        <w:t>Article V of Zoning Regulations</w:t>
      </w:r>
      <w:r w:rsidR="00277548">
        <w:rPr>
          <w:rFonts w:ascii="Arial" w:hAnsi="Arial" w:cs="Arial"/>
          <w:sz w:val="24"/>
          <w:szCs w:val="24"/>
          <w:u w:val="single"/>
        </w:rPr>
        <w:t>:</w:t>
      </w:r>
      <w:r>
        <w:rPr>
          <w:rFonts w:ascii="Arial" w:hAnsi="Arial" w:cs="Arial"/>
          <w:sz w:val="24"/>
          <w:szCs w:val="24"/>
        </w:rPr>
        <w:t xml:space="preserve">  We reviewed most of Article V and discussed the issues that Gig brought up in her draft</w:t>
      </w:r>
      <w:r w:rsidR="00C65DC0">
        <w:rPr>
          <w:rFonts w:ascii="Arial" w:hAnsi="Arial" w:cs="Arial"/>
          <w:sz w:val="24"/>
          <w:szCs w:val="24"/>
        </w:rPr>
        <w:t>;</w:t>
      </w:r>
      <w:r>
        <w:rPr>
          <w:rFonts w:ascii="Arial" w:hAnsi="Arial" w:cs="Arial"/>
          <w:sz w:val="24"/>
          <w:szCs w:val="24"/>
        </w:rPr>
        <w:t xml:space="preserve"> many will be addressed when we update the definitions.</w:t>
      </w:r>
    </w:p>
    <w:p w14:paraId="38A41F7C" w14:textId="29E3070F" w:rsidR="004336EA" w:rsidRDefault="00277548" w:rsidP="005F47B5">
      <w:pPr>
        <w:ind w:left="-90" w:right="-266"/>
        <w:jc w:val="both"/>
        <w:rPr>
          <w:rFonts w:ascii="Arial" w:hAnsi="Arial" w:cs="Arial"/>
          <w:sz w:val="24"/>
          <w:szCs w:val="24"/>
        </w:rPr>
      </w:pPr>
      <w:r w:rsidRPr="00277548">
        <w:rPr>
          <w:rFonts w:ascii="Arial" w:hAnsi="Arial" w:cs="Arial"/>
          <w:sz w:val="24"/>
          <w:szCs w:val="24"/>
          <w:u w:val="single"/>
        </w:rPr>
        <w:t>Next Meeting</w:t>
      </w:r>
      <w:r>
        <w:rPr>
          <w:rFonts w:ascii="Arial" w:hAnsi="Arial" w:cs="Arial"/>
          <w:sz w:val="24"/>
          <w:szCs w:val="24"/>
          <w:u w:val="single"/>
        </w:rPr>
        <w:t>:</w:t>
      </w:r>
      <w:r>
        <w:rPr>
          <w:rFonts w:ascii="Arial" w:hAnsi="Arial" w:cs="Arial"/>
          <w:sz w:val="24"/>
          <w:szCs w:val="24"/>
        </w:rPr>
        <w:t xml:space="preserve">  Brad will work on figuring out best date as mentioned above.  </w:t>
      </w:r>
      <w:r w:rsidR="005F47B5">
        <w:rPr>
          <w:rFonts w:ascii="Arial" w:hAnsi="Arial" w:cs="Arial"/>
          <w:sz w:val="24"/>
          <w:szCs w:val="24"/>
        </w:rPr>
        <w:t>Conduct a</w:t>
      </w:r>
      <w:r>
        <w:rPr>
          <w:rFonts w:ascii="Arial" w:hAnsi="Arial" w:cs="Arial"/>
          <w:sz w:val="24"/>
          <w:szCs w:val="24"/>
        </w:rPr>
        <w:t>nnual reorganization, adopt Rules of Procedure (Gig will create a draft). Continue working on Article V and move on to Article VI as time allows.</w:t>
      </w:r>
    </w:p>
    <w:p w14:paraId="34E9382D" w14:textId="77777777" w:rsidR="005F47B5" w:rsidRDefault="00277548" w:rsidP="005F47B5">
      <w:pPr>
        <w:ind w:left="-90" w:right="-266"/>
        <w:jc w:val="both"/>
        <w:rPr>
          <w:rFonts w:ascii="Arial" w:hAnsi="Arial" w:cs="Arial"/>
          <w:sz w:val="24"/>
          <w:szCs w:val="24"/>
        </w:rPr>
      </w:pPr>
      <w:r>
        <w:rPr>
          <w:rFonts w:ascii="Arial" w:hAnsi="Arial" w:cs="Arial"/>
          <w:sz w:val="24"/>
          <w:szCs w:val="24"/>
        </w:rPr>
        <w:t xml:space="preserve">Respectfully submitted, </w:t>
      </w:r>
    </w:p>
    <w:p w14:paraId="6F9F00D3" w14:textId="7CE694D9" w:rsidR="00277548" w:rsidRPr="00277548" w:rsidRDefault="00277548" w:rsidP="005F47B5">
      <w:pPr>
        <w:ind w:left="-90" w:right="-266"/>
        <w:jc w:val="both"/>
        <w:rPr>
          <w:rFonts w:ascii="Arial" w:hAnsi="Arial" w:cs="Arial"/>
          <w:sz w:val="24"/>
          <w:szCs w:val="24"/>
        </w:rPr>
      </w:pPr>
      <w:r>
        <w:rPr>
          <w:rFonts w:ascii="Arial" w:hAnsi="Arial" w:cs="Arial"/>
          <w:sz w:val="24"/>
          <w:szCs w:val="24"/>
        </w:rPr>
        <w:t>~</w:t>
      </w:r>
      <w:r w:rsidRPr="00277548">
        <w:rPr>
          <w:rFonts w:ascii="Times New Roman" w:hAnsi="Times New Roman" w:cs="Times New Roman"/>
          <w:i/>
          <w:sz w:val="24"/>
          <w:szCs w:val="24"/>
        </w:rPr>
        <w:t>Gig Zboray</w:t>
      </w:r>
    </w:p>
    <w:sectPr w:rsidR="00277548" w:rsidRPr="00277548">
      <w:headerReference w:type="default" r:id="rId8"/>
      <w:pgSz w:w="12240" w:h="15840"/>
      <w:pgMar w:top="2468" w:right="1440" w:bottom="720" w:left="1526"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0F2B" w14:textId="77777777" w:rsidR="00BF6D3E" w:rsidRDefault="00BF6D3E">
      <w:pPr>
        <w:spacing w:after="0" w:line="240" w:lineRule="auto"/>
      </w:pPr>
      <w:r>
        <w:separator/>
      </w:r>
    </w:p>
  </w:endnote>
  <w:endnote w:type="continuationSeparator" w:id="0">
    <w:p w14:paraId="0F1DAF14" w14:textId="77777777" w:rsidR="00BF6D3E" w:rsidRDefault="00BF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0AFAB" w14:textId="77777777" w:rsidR="00BF6D3E" w:rsidRDefault="00BF6D3E">
      <w:pPr>
        <w:spacing w:after="0" w:line="240" w:lineRule="auto"/>
      </w:pPr>
      <w:r>
        <w:separator/>
      </w:r>
    </w:p>
  </w:footnote>
  <w:footnote w:type="continuationSeparator" w:id="0">
    <w:p w14:paraId="3339F219" w14:textId="77777777" w:rsidR="00BF6D3E" w:rsidRDefault="00BF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86D1" w14:textId="77777777" w:rsidR="009A6A5A" w:rsidRDefault="00A11B61">
    <w:pPr>
      <w:spacing w:after="0" w:line="240" w:lineRule="auto"/>
      <w:ind w:left="-90" w:right="-360"/>
    </w:pPr>
    <w:r>
      <w:rPr>
        <w:noProof/>
      </w:rPr>
      <mc:AlternateContent>
        <mc:Choice Requires="wps">
          <w:drawing>
            <wp:anchor distT="0" distB="0" distL="114300" distR="114300" simplePos="0" relativeHeight="3" behindDoc="1" locked="0" layoutInCell="1" allowOverlap="1" wp14:anchorId="22E4A121" wp14:editId="380632A6">
              <wp:simplePos x="0" y="0"/>
              <wp:positionH relativeFrom="column">
                <wp:posOffset>-16510</wp:posOffset>
              </wp:positionH>
              <wp:positionV relativeFrom="paragraph">
                <wp:posOffset>-1905</wp:posOffset>
              </wp:positionV>
              <wp:extent cx="1165225" cy="1146175"/>
              <wp:effectExtent l="0" t="0" r="0" b="0"/>
              <wp:wrapNone/>
              <wp:docPr id="1" name="Text Box 1"/>
              <wp:cNvGraphicFramePr/>
              <a:graphic xmlns:a="http://schemas.openxmlformats.org/drawingml/2006/main">
                <a:graphicData uri="http://schemas.microsoft.com/office/word/2010/wordprocessingShape">
                  <wps:wsp>
                    <wps:cNvSpPr/>
                    <wps:spPr>
                      <a:xfrm>
                        <a:off x="0" y="0"/>
                        <a:ext cx="1164600" cy="11455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bodyPr/>
                  </wps:wsp>
                </a:graphicData>
              </a:graphic>
            </wp:anchor>
          </w:drawing>
        </mc:Choice>
        <mc:Fallback>
          <w:pict>
            <v:rect id="shape_0" ID="Text Box 1" fillcolor="white" stroked="f" style="position:absolute;margin-left:-1.3pt;margin-top:-0.15pt;width:91.65pt;height:90.15pt" wp14:anchorId="43B0B27C">
              <w10:wrap type="none"/>
              <v:fill o:detectmouseclick="t" type="solid" color2="black"/>
              <v:stroke color="#3465a4" weight="6480" joinstyle="round" endcap="flat"/>
            </v:rect>
          </w:pict>
        </mc:Fallback>
      </mc:AlternateContent>
    </w:r>
    <w:r>
      <w:rPr>
        <w:noProof/>
      </w:rPr>
      <mc:AlternateContent>
        <mc:Choice Requires="wps">
          <w:drawing>
            <wp:anchor distT="0" distB="0" distL="0" distR="0" simplePos="0" relativeHeight="5" behindDoc="1" locked="0" layoutInCell="1" allowOverlap="1" wp14:anchorId="60D1E4F7" wp14:editId="6F49CFB0">
              <wp:simplePos x="0" y="0"/>
              <wp:positionH relativeFrom="column">
                <wp:posOffset>-16510</wp:posOffset>
              </wp:positionH>
              <wp:positionV relativeFrom="paragraph">
                <wp:posOffset>-1905</wp:posOffset>
              </wp:positionV>
              <wp:extent cx="1165225" cy="1146175"/>
              <wp:effectExtent l="0" t="0" r="0" b="0"/>
              <wp:wrapNone/>
              <wp:docPr id="2" name="Frame2"/>
              <wp:cNvGraphicFramePr/>
              <a:graphic xmlns:a="http://schemas.openxmlformats.org/drawingml/2006/main">
                <a:graphicData uri="http://schemas.microsoft.com/office/word/2010/wordprocessingShape">
                  <wps:wsp>
                    <wps:cNvSpPr/>
                    <wps:spPr>
                      <a:xfrm>
                        <a:off x="0" y="0"/>
                        <a:ext cx="1164600" cy="1145520"/>
                      </a:xfrm>
                      <a:prstGeom prst="rect">
                        <a:avLst/>
                      </a:prstGeom>
                      <a:noFill/>
                      <a:ln>
                        <a:noFill/>
                      </a:ln>
                    </wps:spPr>
                    <wps:style>
                      <a:lnRef idx="0">
                        <a:scrgbClr r="0" g="0" b="0"/>
                      </a:lnRef>
                      <a:fillRef idx="0">
                        <a:scrgbClr r="0" g="0" b="0"/>
                      </a:fillRef>
                      <a:effectRef idx="0">
                        <a:scrgbClr r="0" g="0" b="0"/>
                      </a:effectRef>
                      <a:fontRef idx="minor"/>
                    </wps:style>
                    <wps:txbx>
                      <w:txbxContent>
                        <w:p w14:paraId="7DB18BB8" w14:textId="77777777" w:rsidR="009A6A5A" w:rsidRDefault="00A11B61">
                          <w:pPr>
                            <w:pStyle w:val="FrameContents"/>
                            <w:rPr>
                              <w:color w:val="000000"/>
                            </w:rPr>
                          </w:pPr>
                          <w:r>
                            <w:rPr>
                              <w:noProof/>
                              <w:color w:val="000000"/>
                            </w:rPr>
                            <w:drawing>
                              <wp:inline distT="0" distB="0" distL="0" distR="0" wp14:anchorId="35C5171A" wp14:editId="65140B99">
                                <wp:extent cx="942975" cy="94297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tretch>
                                          <a:fillRect/>
                                        </a:stretch>
                                      </pic:blipFill>
                                      <pic:spPr bwMode="auto">
                                        <a:xfrm>
                                          <a:off x="0" y="0"/>
                                          <a:ext cx="942975" cy="942975"/>
                                        </a:xfrm>
                                        <a:prstGeom prst="rect">
                                          <a:avLst/>
                                        </a:prstGeom>
                                      </pic:spPr>
                                    </pic:pic>
                                  </a:graphicData>
                                </a:graphic>
                              </wp:inline>
                            </w:drawing>
                          </w:r>
                        </w:p>
                      </w:txbxContent>
                    </wps:txbx>
                    <wps:bodyPr>
                      <a:noAutofit/>
                    </wps:bodyPr>
                  </wps:wsp>
                </a:graphicData>
              </a:graphic>
            </wp:anchor>
          </w:drawing>
        </mc:Choice>
        <mc:Fallback>
          <w:pict>
            <v:rect w14:anchorId="60D1E4F7" id="Frame2" o:spid="_x0000_s1026" style="position:absolute;left:0;text-align:left;margin-left:-1.3pt;margin-top:-.15pt;width:91.75pt;height:90.2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" filled="f" stroked="f">
              <v:textbox>
                <w:txbxContent>
                  <w:p w14:paraId="7DB18BB8" w14:textId="77777777" w:rsidR="009A6A5A" w:rsidRDefault="00A11B61">
                    <w:pPr>
                      <w:pStyle w:val="FrameContents"/>
                      <w:rPr>
                        <w:color w:val="000000"/>
                      </w:rPr>
                    </w:pPr>
                    <w:r>
                      <w:rPr>
                        <w:noProof/>
                        <w:color w:val="000000"/>
                      </w:rPr>
                      <w:drawing>
                        <wp:inline distT="0" distB="0" distL="0" distR="0" wp14:anchorId="35C5171A" wp14:editId="65140B99">
                          <wp:extent cx="942975" cy="94297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stretch>
                                    <a:fillRect/>
                                  </a:stretch>
                                </pic:blipFill>
                                <pic:spPr bwMode="auto">
                                  <a:xfrm>
                                    <a:off x="0" y="0"/>
                                    <a:ext cx="942975" cy="942975"/>
                                  </a:xfrm>
                                  <a:prstGeom prst="rect">
                                    <a:avLst/>
                                  </a:prstGeom>
                                </pic:spPr>
                              </pic:pic>
                            </a:graphicData>
                          </a:graphic>
                        </wp:inline>
                      </w:drawing>
                    </w:r>
                  </w:p>
                </w:txbxContent>
              </v:textbox>
            </v:rect>
          </w:pict>
        </mc:Fallback>
      </mc:AlternateContent>
    </w:r>
    <w:r>
      <w:rPr>
        <w:rFonts w:ascii="Arial" w:hAnsi="Arial" w:cs="Arial"/>
        <w:b/>
        <w:sz w:val="24"/>
        <w:szCs w:val="24"/>
      </w:rPr>
      <w:t xml:space="preserve">                            </w:t>
    </w:r>
  </w:p>
  <w:p w14:paraId="602A000D" w14:textId="77777777" w:rsidR="009A6A5A" w:rsidRDefault="00A11B61">
    <w:pPr>
      <w:spacing w:after="0" w:line="240" w:lineRule="auto"/>
      <w:ind w:left="-90" w:right="-360"/>
    </w:pPr>
    <w:r>
      <w:rPr>
        <w:rFonts w:ascii="Arial" w:hAnsi="Arial" w:cs="Arial"/>
        <w:b/>
        <w:sz w:val="24"/>
        <w:szCs w:val="24"/>
      </w:rPr>
      <w:t xml:space="preserve">                              </w:t>
    </w:r>
    <w:r>
      <w:rPr>
        <w:rFonts w:ascii="Times New Roman" w:hAnsi="Times New Roman" w:cs="Times New Roman"/>
        <w:b/>
        <w:sz w:val="28"/>
        <w:szCs w:val="28"/>
      </w:rPr>
      <w:t>Town of Whitingham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4650E3F0" w14:textId="77777777" w:rsidR="009A6A5A" w:rsidRDefault="00A11B61">
    <w:pPr>
      <w:spacing w:after="0" w:line="240" w:lineRule="auto"/>
      <w:ind w:left="-90" w:right="-360"/>
    </w:pPr>
    <w:r>
      <w:rPr>
        <w:rFonts w:ascii="Times New Roman" w:hAnsi="Times New Roman" w:cs="Times New Roman"/>
        <w:b/>
        <w:sz w:val="28"/>
        <w:szCs w:val="28"/>
      </w:rPr>
      <w:t xml:space="preserve">                             </w:t>
    </w:r>
    <w:r>
      <w:rPr>
        <w:rFonts w:ascii="Times New Roman" w:hAnsi="Times New Roman" w:cs="Times New Roman"/>
        <w:b/>
        <w:sz w:val="24"/>
        <w:szCs w:val="24"/>
      </w:rPr>
      <w:t>Planning Commission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84559A3" w14:textId="77024C49" w:rsidR="009A6A5A" w:rsidRDefault="00A11B61">
    <w:pPr>
      <w:spacing w:after="0" w:line="240" w:lineRule="auto"/>
      <w:ind w:left="-90" w:right="-360"/>
    </w:pPr>
    <w:r>
      <w:rPr>
        <w:rFonts w:ascii="Times New Roman" w:hAnsi="Times New Roman" w:cs="Times New Roman"/>
        <w:b/>
        <w:sz w:val="24"/>
        <w:szCs w:val="24"/>
      </w:rPr>
      <w:t xml:space="preserve">                                  </w:t>
    </w:r>
    <w:r>
      <w:rPr>
        <w:rFonts w:ascii="Times New Roman" w:hAnsi="Times New Roman" w:cs="Times New Roman"/>
        <w:b/>
        <w:sz w:val="28"/>
        <w:szCs w:val="28"/>
      </w:rPr>
      <w:t xml:space="preserve">MINUTES </w:t>
    </w:r>
    <w:r w:rsidR="00E63AEA">
      <w:rPr>
        <w:rFonts w:ascii="Times New Roman" w:hAnsi="Times New Roman" w:cs="Times New Roman"/>
        <w:b/>
        <w:sz w:val="28"/>
        <w:szCs w:val="28"/>
      </w:rPr>
      <w:t>OF</w:t>
    </w:r>
    <w:r>
      <w:rPr>
        <w:rFonts w:ascii="Times New Roman" w:hAnsi="Times New Roman" w:cs="Times New Roman"/>
        <w:b/>
        <w:sz w:val="28"/>
        <w:szCs w:val="28"/>
      </w:rPr>
      <w:t xml:space="preserve"> </w:t>
    </w:r>
    <w:r w:rsidR="00671340">
      <w:rPr>
        <w:rFonts w:ascii="Times New Roman" w:hAnsi="Times New Roman" w:cs="Times New Roman"/>
        <w:b/>
        <w:sz w:val="28"/>
        <w:szCs w:val="28"/>
      </w:rPr>
      <w:t>MAY 17</w:t>
    </w:r>
    <w:r>
      <w:rPr>
        <w:rFonts w:ascii="Times New Roman" w:hAnsi="Times New Roman" w:cs="Times New Roman"/>
        <w:b/>
        <w:sz w:val="28"/>
        <w:szCs w:val="28"/>
      </w:rPr>
      <w:t>, 2018</w:t>
    </w:r>
  </w:p>
  <w:p w14:paraId="078C87D4" w14:textId="77777777" w:rsidR="009A6A5A" w:rsidRDefault="009A6A5A">
    <w:pPr>
      <w:spacing w:after="0" w:line="240" w:lineRule="auto"/>
      <w:ind w:left="-90" w:right="-360"/>
      <w:jc w:val="center"/>
      <w:rPr>
        <w:rFonts w:ascii="Arial" w:hAnsi="Arial" w:cs="Arial"/>
        <w:b/>
        <w:sz w:val="24"/>
        <w:szCs w:val="24"/>
      </w:rPr>
    </w:pPr>
    <w:bookmarkStart w:id="2" w:name="__UnoMark__60_233936413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3D02"/>
    <w:multiLevelType w:val="multilevel"/>
    <w:tmpl w:val="54443F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F6401D"/>
    <w:multiLevelType w:val="multilevel"/>
    <w:tmpl w:val="B546DA1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8774D0B"/>
    <w:multiLevelType w:val="multilevel"/>
    <w:tmpl w:val="E28C96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493201F"/>
    <w:multiLevelType w:val="multilevel"/>
    <w:tmpl w:val="EE944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5A"/>
    <w:rsid w:val="000269C6"/>
    <w:rsid w:val="00277548"/>
    <w:rsid w:val="004336EA"/>
    <w:rsid w:val="005F47B5"/>
    <w:rsid w:val="00671340"/>
    <w:rsid w:val="0076748C"/>
    <w:rsid w:val="008D72E6"/>
    <w:rsid w:val="009A6A5A"/>
    <w:rsid w:val="00A11B61"/>
    <w:rsid w:val="00BF6D3E"/>
    <w:rsid w:val="00C65DC0"/>
    <w:rsid w:val="00E63AEA"/>
    <w:rsid w:val="00F45A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029F"/>
  <w15:docId w15:val="{9B91C887-FD4A-4EFC-8DCE-69C04E8F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color w:val="00000A"/>
      <w:sz w:val="22"/>
    </w:rPr>
  </w:style>
  <w:style w:type="paragraph" w:styleId="Heading1">
    <w:name w:val="heading 1"/>
    <w:basedOn w:val="Heading"/>
    <w:qFormat/>
    <w:pPr>
      <w:numPr>
        <w:numId w:val="1"/>
      </w:numPr>
      <w:outlineLvl w:val="0"/>
    </w:pPr>
    <w:rPr>
      <w:b/>
      <w:bCs/>
      <w:sz w:val="36"/>
      <w:szCs w:val="36"/>
    </w:rPr>
  </w:style>
  <w:style w:type="paragraph" w:styleId="Heading2">
    <w:name w:val="heading 2"/>
    <w:basedOn w:val="Heading"/>
    <w:qFormat/>
    <w:pPr>
      <w:numPr>
        <w:ilvl w:val="1"/>
        <w:numId w:val="1"/>
      </w:numPr>
      <w:spacing w:before="200"/>
      <w:outlineLvl w:val="1"/>
    </w:pPr>
    <w:rPr>
      <w:b/>
      <w:bCs/>
      <w:sz w:val="32"/>
      <w:szCs w:val="32"/>
    </w:rPr>
  </w:style>
  <w:style w:type="paragraph" w:styleId="Heading3">
    <w:name w:val="heading 3"/>
    <w:basedOn w:val="Heading"/>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BB1020"/>
    <w:rPr>
      <w:color w:val="0000FF" w:themeColor="hyperlink"/>
      <w:u w:val="single"/>
    </w:rPr>
  </w:style>
  <w:style w:type="character" w:customStyle="1" w:styleId="BalloonTextChar">
    <w:name w:val="Balloon Text Char"/>
    <w:basedOn w:val="DefaultParagraphFont"/>
    <w:link w:val="BalloonText"/>
    <w:uiPriority w:val="99"/>
    <w:semiHidden/>
    <w:qFormat/>
    <w:rsid w:val="00543FB1"/>
    <w:rPr>
      <w:rFonts w:ascii="Tahoma" w:hAnsi="Tahoma" w:cs="Tahoma"/>
      <w:sz w:val="16"/>
      <w:szCs w:val="16"/>
    </w:rPr>
  </w:style>
  <w:style w:type="character" w:customStyle="1" w:styleId="ListLabel1">
    <w:name w:val="ListLabel 1"/>
    <w:qFormat/>
    <w:rPr>
      <w:b/>
      <w:color w:val="006600"/>
    </w:rPr>
  </w:style>
  <w:style w:type="character" w:customStyle="1" w:styleId="ListLabel2">
    <w:name w:val="ListLabel 2"/>
    <w:qFormat/>
    <w:rPr>
      <w:b/>
    </w:rPr>
  </w:style>
  <w:style w:type="character" w:customStyle="1" w:styleId="ListLabel3">
    <w:name w:val="ListLabel 3"/>
    <w:qFormat/>
    <w:rPr>
      <w:b/>
      <w:color w:val="006600"/>
    </w:rPr>
  </w:style>
  <w:style w:type="character" w:customStyle="1" w:styleId="ListLabel4">
    <w:name w:val="ListLabel 4"/>
    <w:qFormat/>
    <w:rPr>
      <w:b/>
      <w:color w:val="006600"/>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val="0"/>
    </w:rPr>
  </w:style>
  <w:style w:type="paragraph" w:customStyle="1" w:styleId="Heading">
    <w:name w:val="Heading"/>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FD0F9B"/>
    <w:pPr>
      <w:ind w:left="720"/>
      <w:contextualSpacing/>
    </w:pPr>
  </w:style>
  <w:style w:type="paragraph" w:styleId="BalloonText">
    <w:name w:val="Balloon Text"/>
    <w:basedOn w:val="Normal"/>
    <w:link w:val="BalloonTextChar"/>
    <w:uiPriority w:val="99"/>
    <w:semiHidden/>
    <w:unhideWhenUsed/>
    <w:qFormat/>
    <w:rsid w:val="00543FB1"/>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Header">
    <w:name w:val="header"/>
    <w:basedOn w:val="Normal"/>
    <w:pPr>
      <w:suppressLineNumbers/>
      <w:tabs>
        <w:tab w:val="center" w:pos="4637"/>
        <w:tab w:val="right" w:pos="9274"/>
      </w:tabs>
    </w:pPr>
  </w:style>
  <w:style w:type="paragraph" w:styleId="Footer">
    <w:name w:val="footer"/>
    <w:basedOn w:val="Normal"/>
    <w:link w:val="FooterChar"/>
    <w:uiPriority w:val="99"/>
    <w:unhideWhenUsed/>
    <w:rsid w:val="0067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40"/>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EA6C-45E9-4A9A-B605-760161D6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Zboray</dc:creator>
  <dc:description/>
  <cp:lastModifiedBy>Gisela Zboray</cp:lastModifiedBy>
  <cp:revision>5</cp:revision>
  <cp:lastPrinted>2018-05-18T13:18:00Z</cp:lastPrinted>
  <dcterms:created xsi:type="dcterms:W3CDTF">2018-05-18T13:18:00Z</dcterms:created>
  <dcterms:modified xsi:type="dcterms:W3CDTF">2018-06-06T16:43:00Z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